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59"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3"/>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803" w:type="dxa"/>
            <w:vAlign w:val="center"/>
          </w:tcPr>
          <w:p>
            <w:pPr>
              <w:snapToGrid w:val="0"/>
              <w:spacing w:line="192" w:lineRule="auto"/>
              <w:jc w:val="distribute"/>
              <w:rPr>
                <w:rFonts w:ascii="方正小标宋简体" w:hAnsi="宋体" w:eastAsia="方正小标宋简体"/>
                <w:color w:val="FF0000"/>
                <w:spacing w:val="88"/>
                <w:w w:val="89"/>
                <w:sz w:val="72"/>
                <w:szCs w:val="72"/>
              </w:rPr>
            </w:pPr>
            <w:r>
              <w:rPr>
                <w:rFonts w:hint="eastAsia" w:ascii="方正小标宋简体" w:hAnsi="宋体" w:eastAsia="方正小标宋简体"/>
                <w:color w:val="FF0000"/>
                <w:spacing w:val="67"/>
                <w:kern w:val="0"/>
                <w:sz w:val="72"/>
                <w:szCs w:val="72"/>
                <w:fitText w:val="7560" w:id="1044398970"/>
              </w:rPr>
              <w:t>湖南省文化和旅游</w:t>
            </w:r>
            <w:r>
              <w:rPr>
                <w:rFonts w:hint="eastAsia" w:ascii="方正小标宋简体" w:hAnsi="宋体" w:eastAsia="方正小标宋简体"/>
                <w:color w:val="FF0000"/>
                <w:spacing w:val="4"/>
                <w:kern w:val="0"/>
                <w:sz w:val="72"/>
                <w:szCs w:val="72"/>
                <w:fitText w:val="7560" w:id="1044398970"/>
              </w:rPr>
              <w:t>厅</w:t>
            </w:r>
          </w:p>
        </w:tc>
        <w:tc>
          <w:tcPr>
            <w:tcW w:w="1556" w:type="dxa"/>
            <w:vMerge w:val="restart"/>
            <w:vAlign w:val="center"/>
          </w:tcPr>
          <w:p>
            <w:pPr>
              <w:snapToGrid w:val="0"/>
              <w:spacing w:line="192" w:lineRule="auto"/>
              <w:jc w:val="center"/>
              <w:rPr>
                <w:rFonts w:ascii="方正小标宋简体" w:hAnsi="宋体" w:eastAsia="方正小标宋简体"/>
                <w:color w:val="FF0000"/>
                <w:spacing w:val="-20"/>
                <w:w w:val="90"/>
                <w:sz w:val="72"/>
                <w:szCs w:val="72"/>
              </w:rPr>
            </w:pPr>
            <w:r>
              <w:rPr>
                <w:rFonts w:hint="eastAsia" w:ascii="方正小标宋简体" w:hAnsi="宋体" w:eastAsia="方正小标宋简体"/>
                <w:color w:val="FF0000"/>
                <w:spacing w:val="-20"/>
                <w:w w:val="90"/>
                <w:sz w:val="72"/>
                <w:szCs w:val="72"/>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7803" w:type="dxa"/>
            <w:vAlign w:val="center"/>
          </w:tcPr>
          <w:p>
            <w:pPr>
              <w:snapToGrid w:val="0"/>
              <w:spacing w:line="192" w:lineRule="auto"/>
              <w:jc w:val="distribute"/>
              <w:rPr>
                <w:rFonts w:ascii="方正小标宋简体" w:hAnsi="宋体" w:eastAsia="方正小标宋简体"/>
                <w:color w:val="FF0000"/>
                <w:spacing w:val="-40"/>
                <w:w w:val="90"/>
                <w:sz w:val="72"/>
                <w:szCs w:val="72"/>
              </w:rPr>
            </w:pPr>
            <w:r>
              <w:rPr>
                <w:rFonts w:hint="eastAsia" w:ascii="方正小标宋简体" w:hAnsi="宋体" w:eastAsia="方正小标宋简体"/>
                <w:color w:val="FF0000"/>
                <w:spacing w:val="-40"/>
                <w:w w:val="90"/>
                <w:sz w:val="72"/>
                <w:szCs w:val="72"/>
              </w:rPr>
              <w:t>湖南省人力资源和社会保障厅</w:t>
            </w:r>
          </w:p>
        </w:tc>
        <w:tc>
          <w:tcPr>
            <w:tcW w:w="1556" w:type="dxa"/>
            <w:vMerge w:val="continue"/>
            <w:vAlign w:val="center"/>
          </w:tcPr>
          <w:p>
            <w:pPr>
              <w:snapToGrid w:val="0"/>
              <w:spacing w:line="192" w:lineRule="auto"/>
              <w:jc w:val="center"/>
              <w:rPr>
                <w:rFonts w:ascii="方正小标宋简体" w:hAnsi="宋体" w:eastAsia="方正小标宋简体"/>
                <w:color w:val="FF0000"/>
                <w:spacing w:val="-20"/>
                <w:w w:val="9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803" w:type="dxa"/>
            <w:vAlign w:val="center"/>
          </w:tcPr>
          <w:p>
            <w:pPr>
              <w:snapToGrid w:val="0"/>
              <w:spacing w:line="192" w:lineRule="auto"/>
              <w:jc w:val="distribute"/>
              <w:rPr>
                <w:rFonts w:ascii="方正小标宋简体" w:hAnsi="宋体" w:eastAsia="方正小标宋简体"/>
                <w:color w:val="FF0000"/>
                <w:spacing w:val="6"/>
                <w:w w:val="90"/>
                <w:sz w:val="72"/>
                <w:szCs w:val="72"/>
              </w:rPr>
            </w:pPr>
            <w:r>
              <w:rPr>
                <w:rFonts w:hint="eastAsia" w:ascii="方正小标宋简体" w:hAnsi="宋体" w:eastAsia="方正小标宋简体"/>
                <w:color w:val="FF0000"/>
                <w:spacing w:val="6"/>
                <w:w w:val="90"/>
                <w:sz w:val="72"/>
                <w:szCs w:val="72"/>
              </w:rPr>
              <w:t>湖  南  省  总  工  会</w:t>
            </w:r>
          </w:p>
        </w:tc>
        <w:tc>
          <w:tcPr>
            <w:tcW w:w="1556" w:type="dxa"/>
            <w:vMerge w:val="continue"/>
            <w:vAlign w:val="center"/>
          </w:tcPr>
          <w:p>
            <w:pPr>
              <w:snapToGrid w:val="0"/>
              <w:spacing w:line="192" w:lineRule="auto"/>
              <w:jc w:val="center"/>
              <w:rPr>
                <w:rFonts w:ascii="方正小标宋简体" w:hAnsi="宋体" w:eastAsia="方正小标宋简体"/>
                <w:color w:val="FF0000"/>
                <w:spacing w:val="-20"/>
                <w:w w:val="9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7803" w:type="dxa"/>
            <w:vAlign w:val="center"/>
          </w:tcPr>
          <w:p>
            <w:pPr>
              <w:snapToGrid w:val="0"/>
              <w:spacing w:line="192" w:lineRule="auto"/>
              <w:jc w:val="distribute"/>
              <w:rPr>
                <w:rFonts w:ascii="方正小标宋简体" w:hAnsi="宋体" w:eastAsia="方正小标宋简体"/>
                <w:color w:val="FF0000"/>
                <w:spacing w:val="-6"/>
                <w:w w:val="90"/>
                <w:sz w:val="72"/>
                <w:szCs w:val="72"/>
              </w:rPr>
            </w:pPr>
            <w:r>
              <w:rPr>
                <w:rFonts w:hint="eastAsia" w:ascii="方正小标宋简体" w:hAnsi="宋体" w:eastAsia="方正小标宋简体"/>
                <w:color w:val="FF0000"/>
                <w:spacing w:val="-6"/>
                <w:w w:val="90"/>
                <w:sz w:val="72"/>
                <w:szCs w:val="72"/>
              </w:rPr>
              <w:t>共青团湖南省委员会</w:t>
            </w:r>
          </w:p>
        </w:tc>
        <w:tc>
          <w:tcPr>
            <w:tcW w:w="1556" w:type="dxa"/>
            <w:vMerge w:val="continue"/>
            <w:vAlign w:val="center"/>
          </w:tcPr>
          <w:p>
            <w:pPr>
              <w:snapToGrid w:val="0"/>
              <w:spacing w:line="192" w:lineRule="auto"/>
              <w:jc w:val="center"/>
              <w:rPr>
                <w:rFonts w:ascii="方正小标宋简体" w:hAnsi="宋体" w:eastAsia="方正小标宋简体"/>
                <w:color w:val="FF0000"/>
                <w:spacing w:val="-20"/>
                <w:w w:val="9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7803" w:type="dxa"/>
            <w:vAlign w:val="center"/>
          </w:tcPr>
          <w:p>
            <w:pPr>
              <w:snapToGrid w:val="0"/>
              <w:spacing w:line="192" w:lineRule="auto"/>
              <w:jc w:val="distribute"/>
              <w:rPr>
                <w:rFonts w:ascii="方正小标宋简体" w:hAnsi="宋体" w:eastAsia="方正小标宋简体"/>
                <w:color w:val="FF0000"/>
                <w:spacing w:val="-6"/>
                <w:w w:val="90"/>
                <w:sz w:val="72"/>
                <w:szCs w:val="72"/>
              </w:rPr>
            </w:pPr>
            <w:r>
              <w:rPr>
                <w:rFonts w:hint="eastAsia" w:ascii="方正小标宋简体" w:hAnsi="宋体" w:eastAsia="方正小标宋简体"/>
                <w:color w:val="FF0000"/>
                <w:spacing w:val="-6"/>
                <w:w w:val="90"/>
                <w:sz w:val="72"/>
                <w:szCs w:val="72"/>
              </w:rPr>
              <w:t>湖 南 省 妇 女 联 合 会</w:t>
            </w:r>
          </w:p>
        </w:tc>
        <w:tc>
          <w:tcPr>
            <w:tcW w:w="1556" w:type="dxa"/>
            <w:vMerge w:val="continue"/>
            <w:vAlign w:val="center"/>
          </w:tcPr>
          <w:p>
            <w:pPr>
              <w:snapToGrid w:val="0"/>
              <w:spacing w:line="192" w:lineRule="auto"/>
              <w:jc w:val="center"/>
              <w:rPr>
                <w:rFonts w:ascii="方正小标宋简体" w:hAnsi="宋体" w:eastAsia="方正小标宋简体"/>
                <w:color w:val="FF0000"/>
                <w:spacing w:val="-20"/>
                <w:w w:val="90"/>
                <w:sz w:val="36"/>
                <w:szCs w:val="36"/>
              </w:rPr>
            </w:pPr>
          </w:p>
        </w:tc>
      </w:tr>
    </w:tbl>
    <w:p>
      <w:pPr>
        <w:spacing w:line="600" w:lineRule="exact"/>
        <w:jc w:val="center"/>
        <w:rPr>
          <w:rFonts w:ascii="宋体" w:hAnsi="宋体" w:eastAsia="宋体"/>
          <w:sz w:val="36"/>
          <w:szCs w:val="36"/>
        </w:rPr>
      </w:pPr>
    </w:p>
    <w:p>
      <w:pPr>
        <w:spacing w:line="600" w:lineRule="exact"/>
        <w:jc w:val="center"/>
        <w:rPr>
          <w:rFonts w:ascii="仿宋_GB2312" w:hAnsi="宋体" w:eastAsia="仿宋_GB2312"/>
          <w:sz w:val="32"/>
          <w:szCs w:val="32"/>
        </w:rPr>
      </w:pPr>
      <w:r>
        <w:rPr>
          <w:rFonts w:hint="eastAsia" w:ascii="仿宋_GB2312" w:hAnsi="宋体" w:eastAsia="仿宋_GB2312"/>
          <w:sz w:val="32"/>
          <w:szCs w:val="32"/>
        </w:rPr>
        <w:t>湘文旅市场</w:t>
      </w:r>
      <w:r>
        <w:rPr>
          <w:rFonts w:hint="eastAsia" w:ascii="仿宋_GB2312" w:hAnsi="黑体" w:eastAsia="黑体"/>
          <w:sz w:val="32"/>
          <w:szCs w:val="32"/>
        </w:rPr>
        <w:t>﹝</w:t>
      </w:r>
      <w:r>
        <w:rPr>
          <w:rFonts w:hint="eastAsia" w:ascii="仿宋_GB2312" w:hAnsi="黑体" w:eastAsia="仿宋_GB2312"/>
          <w:sz w:val="32"/>
          <w:szCs w:val="32"/>
        </w:rPr>
        <w:t>2022</w:t>
      </w:r>
      <w:r>
        <w:rPr>
          <w:rFonts w:hint="eastAsia" w:ascii="仿宋_GB2312" w:hAnsi="黑体" w:eastAsia="黑体"/>
          <w:sz w:val="32"/>
          <w:szCs w:val="32"/>
        </w:rPr>
        <w:t>﹞22</w:t>
      </w:r>
      <w:r>
        <w:rPr>
          <w:rFonts w:hint="eastAsia" w:ascii="仿宋_GB2312" w:hAnsi="黑体" w:eastAsia="仿宋_GB2312"/>
          <w:sz w:val="32"/>
          <w:szCs w:val="32"/>
        </w:rPr>
        <w:t>号</w:t>
      </w:r>
    </w:p>
    <w:p>
      <w:pPr>
        <w:snapToGrid w:val="0"/>
        <w:spacing w:line="300" w:lineRule="auto"/>
        <w:rPr>
          <w:rFonts w:ascii="宋体" w:hAnsi="宋体" w:eastAsia="宋体"/>
          <w:sz w:val="32"/>
          <w:szCs w:val="32"/>
        </w:rPr>
      </w:pPr>
      <w:r>
        <w:rPr>
          <w:rFonts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46990</wp:posOffset>
                </wp:positionV>
                <wp:extent cx="6076950" cy="0"/>
                <wp:effectExtent l="0" t="15875" r="0" b="22225"/>
                <wp:wrapNone/>
                <wp:docPr id="1" name="1026"/>
                <wp:cNvGraphicFramePr/>
                <a:graphic xmlns:a="http://schemas.openxmlformats.org/drawingml/2006/main">
                  <a:graphicData uri="http://schemas.microsoft.com/office/word/2010/wordprocessingShape">
                    <wps:wsp>
                      <wps:cNvCnPr/>
                      <wps:spPr>
                        <a:xfrm>
                          <a:off x="0" y="0"/>
                          <a:ext cx="6076950" cy="0"/>
                        </a:xfrm>
                        <a:prstGeom prst="straightConnector1">
                          <a:avLst/>
                        </a:prstGeom>
                        <a:ln w="31750" cap="flat" cmpd="sng">
                          <a:solidFill>
                            <a:srgbClr val="FF0000"/>
                          </a:solidFill>
                          <a:prstDash val="solid"/>
                          <a:headEnd type="none" w="med" len="med"/>
                          <a:tailEnd type="none" w="med" len="med"/>
                        </a:ln>
                      </wps:spPr>
                      <wps:bodyPr/>
                    </wps:wsp>
                  </a:graphicData>
                </a:graphic>
              </wp:anchor>
            </w:drawing>
          </mc:Choice>
          <mc:Fallback>
            <w:pict>
              <v:shape id="1026" o:spid="_x0000_s1026" o:spt="32" type="#_x0000_t32" style="position:absolute;left:0pt;margin-left:-15.8pt;margin-top:3.7pt;height:0pt;width:478.5pt;z-index:251659264;mso-width-relative:page;mso-height-relative:page;" filled="f" stroked="t" coordsize="21600,21600" o:gfxdata="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PSGbUAAAABwEAAA8AAAAAAAAA&#10;AQAgAAAAIgAAAGRycy9kb3ducmV2LnhtbFBLAQIUABQAAAAIAIdO4kCJXGXH3AEAANoDAAAOAAAA&#10;AAAAAAEAIAAAACMBAABkcnMvZTJvRG9jLnhtbFBLBQYAAAAABgAGAFkBAABxBQAAAAA=&#10;">
                <v:fill on="f" focussize="0,0"/>
                <v:stroke weight="2.5pt" color="#FF0000" joinstyle="round"/>
                <v:imagedata o:title=""/>
                <o:lock v:ext="edit" aspectratio="f"/>
              </v:shape>
            </w:pict>
          </mc:Fallback>
        </mc:AlternateContent>
      </w:r>
    </w:p>
    <w:p>
      <w:pPr>
        <w:snapToGrid w:val="0"/>
        <w:spacing w:line="276"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关于举办2022年全省旅游饭店</w:t>
      </w:r>
    </w:p>
    <w:p>
      <w:pPr>
        <w:snapToGrid w:val="0"/>
        <w:spacing w:line="276"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职业技能大赛的通知</w:t>
      </w:r>
    </w:p>
    <w:p>
      <w:pPr>
        <w:snapToGrid w:val="0"/>
        <w:spacing w:line="300" w:lineRule="auto"/>
        <w:ind w:firstLine="640" w:firstLineChars="200"/>
        <w:rPr>
          <w:rFonts w:ascii="仿宋_GB2312" w:hAnsi="宋体" w:eastAsia="仿宋_GB2312" w:cs="Times New Roman"/>
          <w:sz w:val="32"/>
          <w:szCs w:val="32"/>
        </w:rPr>
      </w:pPr>
    </w:p>
    <w:p>
      <w:pPr>
        <w:widowControl/>
        <w:snapToGrid w:val="0"/>
        <w:spacing w:line="360" w:lineRule="auto"/>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各市州文化旅游广电（体育）局、人力资源和社会保障局、工会、团委、妇联，省旅游饭店协会：</w:t>
      </w:r>
    </w:p>
    <w:p>
      <w:pPr>
        <w:widowControl/>
        <w:snapToGrid w:val="0"/>
        <w:spacing w:line="360" w:lineRule="auto"/>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深入贯彻落实习近平总书记对技能人才工作的重要指示精神，进一步弘扬劳模精神、劳动精神和工匠精神，充分发挥职业技能竞赛在促进技能人才培养、评价、使用和激励中的示范引领作用，服务我省“三高四新”战略实施。经研究，决定举办2022年全省旅游饭店职业技能大赛。现将有关事项通知如下:</w:t>
      </w:r>
    </w:p>
    <w:p>
      <w:pPr>
        <w:widowControl/>
        <w:snapToGrid w:val="0"/>
        <w:spacing w:line="360" w:lineRule="auto"/>
        <w:ind w:firstLine="627" w:firstLineChars="196"/>
        <w:jc w:val="left"/>
        <w:rPr>
          <w:rFonts w:ascii="黑体" w:hAnsi="黑体" w:eastAsia="黑体" w:cs="宋体"/>
          <w:kern w:val="0"/>
          <w:sz w:val="32"/>
          <w:szCs w:val="32"/>
        </w:rPr>
      </w:pPr>
      <w:r>
        <w:rPr>
          <w:rFonts w:hint="eastAsia" w:ascii="黑体" w:hAnsi="黑体" w:eastAsia="黑体" w:cs="宋体"/>
          <w:kern w:val="0"/>
          <w:sz w:val="32"/>
          <w:szCs w:val="32"/>
        </w:rPr>
        <w:t>一、赛事组织机构</w:t>
      </w:r>
    </w:p>
    <w:p>
      <w:pPr>
        <w:widowControl/>
        <w:snapToGrid w:val="0"/>
        <w:spacing w:line="360" w:lineRule="auto"/>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主办单位：湖南省文化和旅游厅</w:t>
      </w:r>
    </w:p>
    <w:p>
      <w:pPr>
        <w:widowControl/>
        <w:snapToGrid w:val="0"/>
        <w:spacing w:line="360" w:lineRule="auto"/>
        <w:ind w:firstLine="2240" w:firstLineChars="7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湖南省人力资源和社会保障厅</w:t>
      </w:r>
    </w:p>
    <w:p>
      <w:pPr>
        <w:widowControl/>
        <w:snapToGrid w:val="0"/>
        <w:spacing w:line="360" w:lineRule="auto"/>
        <w:ind w:firstLine="2240" w:firstLineChars="7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湖南省总工会</w:t>
      </w:r>
    </w:p>
    <w:p>
      <w:pPr>
        <w:widowControl/>
        <w:snapToGrid w:val="0"/>
        <w:spacing w:line="360" w:lineRule="auto"/>
        <w:ind w:firstLine="2240" w:firstLineChars="7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共青团湖南省委员会</w:t>
      </w:r>
    </w:p>
    <w:p>
      <w:pPr>
        <w:widowControl/>
        <w:snapToGrid w:val="0"/>
        <w:spacing w:line="360" w:lineRule="auto"/>
        <w:ind w:firstLine="2240" w:firstLineChars="7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湖南省妇女联合会</w:t>
      </w:r>
    </w:p>
    <w:p>
      <w:pPr>
        <w:widowControl/>
        <w:snapToGrid w:val="0"/>
        <w:spacing w:line="360" w:lineRule="auto"/>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承办单位：湖南省旅游饭店协会</w:t>
      </w:r>
    </w:p>
    <w:p>
      <w:pPr>
        <w:widowControl/>
        <w:snapToGrid w:val="0"/>
        <w:spacing w:line="360" w:lineRule="auto"/>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大赛组委会设竞赛组委会、技术评判委员会、仲裁监审委员会，组委会下设大赛执委会，负责统筹协调和推动赛事各项重点工作。</w:t>
      </w:r>
    </w:p>
    <w:p>
      <w:pPr>
        <w:widowControl/>
        <w:snapToGrid w:val="0"/>
        <w:spacing w:line="360" w:lineRule="auto"/>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各市州文化旅游广电（体育）局可相应成立参赛工作机构，负责组织实施本地区选手选拔和参赛工作。</w:t>
      </w:r>
    </w:p>
    <w:p>
      <w:pPr>
        <w:widowControl/>
        <w:snapToGrid w:val="0"/>
        <w:spacing w:line="360" w:lineRule="auto"/>
        <w:ind w:firstLine="627" w:firstLineChars="196"/>
        <w:jc w:val="left"/>
        <w:rPr>
          <w:rFonts w:ascii="黑体" w:hAnsi="黑体" w:eastAsia="黑体" w:cs="宋体"/>
          <w:kern w:val="0"/>
          <w:sz w:val="32"/>
          <w:szCs w:val="32"/>
        </w:rPr>
      </w:pPr>
      <w:r>
        <w:rPr>
          <w:rFonts w:hint="eastAsia" w:ascii="黑体" w:hAnsi="黑体" w:eastAsia="黑体" w:cs="宋体"/>
          <w:kern w:val="0"/>
          <w:sz w:val="32"/>
          <w:szCs w:val="32"/>
        </w:rPr>
        <w:t>二、赛事安排</w:t>
      </w:r>
    </w:p>
    <w:p>
      <w:pPr>
        <w:widowControl/>
        <w:snapToGrid w:val="0"/>
        <w:spacing w:line="360" w:lineRule="auto"/>
        <w:jc w:val="left"/>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 xml:space="preserve">    (一)决赛时间：</w:t>
      </w:r>
      <w:r>
        <w:rPr>
          <w:rFonts w:hint="eastAsia" w:ascii="仿宋_GB2312" w:hAnsi="仿宋" w:eastAsia="仿宋_GB2312" w:cs="宋体"/>
          <w:kern w:val="0"/>
          <w:sz w:val="32"/>
          <w:szCs w:val="32"/>
        </w:rPr>
        <w:t>暂定2022年5月初，赛期3天。</w:t>
      </w:r>
    </w:p>
    <w:p>
      <w:pPr>
        <w:widowControl/>
        <w:snapToGrid w:val="0"/>
        <w:spacing w:line="360" w:lineRule="auto"/>
        <w:jc w:val="left"/>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 xml:space="preserve">    (二)决赛地点</w:t>
      </w:r>
      <w:r>
        <w:rPr>
          <w:rFonts w:hint="eastAsia" w:ascii="仿宋_GB2312" w:hAnsi="仿宋" w:eastAsia="仿宋_GB2312" w:cs="宋体"/>
          <w:kern w:val="0"/>
          <w:sz w:val="32"/>
          <w:szCs w:val="32"/>
        </w:rPr>
        <w:t>：待定</w:t>
      </w:r>
    </w:p>
    <w:p>
      <w:pPr>
        <w:widowControl/>
        <w:snapToGrid w:val="0"/>
        <w:spacing w:line="360" w:lineRule="auto"/>
        <w:jc w:val="left"/>
        <w:rPr>
          <w:rFonts w:hint="eastAsia" w:ascii="仿宋_GB2312" w:hAnsi="仿宋" w:eastAsia="仿宋_GB2312" w:cs="宋体"/>
          <w:b/>
          <w:kern w:val="0"/>
          <w:sz w:val="32"/>
          <w:szCs w:val="32"/>
        </w:rPr>
      </w:pPr>
      <w:r>
        <w:rPr>
          <w:rFonts w:hint="eastAsia" w:ascii="仿宋_GB2312" w:hAnsi="仿宋" w:eastAsia="仿宋_GB2312" w:cs="宋体"/>
          <w:b/>
          <w:kern w:val="0"/>
          <w:sz w:val="32"/>
          <w:szCs w:val="32"/>
        </w:rPr>
        <w:t xml:space="preserve">    (三)竞赛项目（5个）</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1.前厅服务员（前台接待）；</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2.客房服务员（中式铺床</w:t>
      </w:r>
      <w:r>
        <w:rPr>
          <w:rFonts w:hint="eastAsia" w:ascii="仿宋_GB2312" w:hAnsi="仿宋" w:eastAsia="仿宋_GB2312" w:cs="仿宋"/>
          <w:bCs/>
          <w:kern w:val="0"/>
          <w:sz w:val="32"/>
          <w:szCs w:val="32"/>
        </w:rPr>
        <w:t>+开夜床</w:t>
      </w:r>
      <w:r>
        <w:rPr>
          <w:rFonts w:hint="eastAsia" w:ascii="仿宋_GB2312" w:hAnsi="仿宋" w:eastAsia="仿宋_GB2312" w:cs="仿宋"/>
          <w:sz w:val="32"/>
          <w:szCs w:val="32"/>
        </w:rPr>
        <w:t>）；</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3.餐厅服务员（中餐宴会摆台+主题台型设计）；</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4.餐厅服务员（西餐摆台）；</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5.中式烹调师（中式烹饪）。</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宋体"/>
          <w:kern w:val="0"/>
          <w:sz w:val="32"/>
          <w:szCs w:val="32"/>
        </w:rPr>
        <w:t>（四）</w:t>
      </w:r>
      <w:r>
        <w:rPr>
          <w:rFonts w:hint="eastAsia" w:ascii="仿宋_GB2312" w:hAnsi="仿宋" w:eastAsia="仿宋_GB2312" w:cs="宋体"/>
          <w:b/>
          <w:kern w:val="0"/>
          <w:sz w:val="32"/>
          <w:szCs w:val="32"/>
        </w:rPr>
        <w:t>参赛对象</w:t>
      </w:r>
      <w:r>
        <w:rPr>
          <w:rFonts w:hint="eastAsia" w:ascii="仿宋_GB2312" w:hAnsi="仿宋" w:eastAsia="仿宋_GB2312" w:cs="宋体"/>
          <w:kern w:val="0"/>
          <w:sz w:val="32"/>
          <w:szCs w:val="32"/>
        </w:rPr>
        <w:t>：</w:t>
      </w:r>
      <w:r>
        <w:rPr>
          <w:rFonts w:hint="eastAsia" w:ascii="仿宋_GB2312" w:hAnsi="仿宋" w:eastAsia="仿宋_GB2312" w:cs="仿宋"/>
          <w:sz w:val="32"/>
          <w:szCs w:val="32"/>
        </w:rPr>
        <w:t>全省旅游星级饭店、绿色旅游饭店及湖南省旅游饭店协会会员单位具有正式聘任合同的员工，无不良行为及投诉记录，且在本单位工作满1年以上。</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w:t>
      </w:r>
      <w:r>
        <w:rPr>
          <w:rFonts w:hint="eastAsia" w:ascii="仿宋_GB2312" w:hAnsi="仿宋" w:eastAsia="仿宋_GB2312" w:cs="仿宋"/>
          <w:b/>
          <w:sz w:val="32"/>
          <w:szCs w:val="32"/>
        </w:rPr>
        <w:t>参赛方式</w:t>
      </w:r>
      <w:r>
        <w:rPr>
          <w:rFonts w:hint="eastAsia" w:ascii="仿宋_GB2312" w:hAnsi="仿宋" w:eastAsia="仿宋_GB2312" w:cs="仿宋"/>
          <w:sz w:val="32"/>
          <w:szCs w:val="32"/>
        </w:rPr>
        <w:t>：以市州为单位组成参赛代表团参加全省决赛，每个代表队要求1名领队带队，每队每个项目要求有1名指导教练，即每队由选手、领队、指导教练组成市州参赛代表队。</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w:t>
      </w:r>
      <w:r>
        <w:rPr>
          <w:rFonts w:hint="eastAsia" w:ascii="仿宋_GB2312" w:hAnsi="仿宋" w:eastAsia="仿宋_GB2312" w:cs="仿宋"/>
          <w:b/>
          <w:sz w:val="32"/>
          <w:szCs w:val="32"/>
        </w:rPr>
        <w:t>选手名额</w:t>
      </w:r>
      <w:r>
        <w:rPr>
          <w:rFonts w:hint="eastAsia" w:ascii="仿宋_GB2312" w:hAnsi="仿宋" w:eastAsia="仿宋_GB2312" w:cs="仿宋"/>
          <w:sz w:val="32"/>
          <w:szCs w:val="32"/>
        </w:rPr>
        <w:t>：每队每个竞赛项目由2-4名选手组成（长沙每个项目可推荐4人、其他市州每个项目推荐2人）。</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w:t>
      </w:r>
      <w:r>
        <w:rPr>
          <w:rFonts w:hint="eastAsia" w:ascii="仿宋_GB2312" w:hAnsi="仿宋" w:eastAsia="仿宋_GB2312" w:cs="仿宋"/>
          <w:b/>
          <w:sz w:val="32"/>
          <w:szCs w:val="32"/>
        </w:rPr>
        <w:t>报名方式</w:t>
      </w:r>
      <w:r>
        <w:rPr>
          <w:rFonts w:hint="eastAsia" w:ascii="仿宋_GB2312" w:hAnsi="仿宋" w:eastAsia="仿宋_GB2312" w:cs="仿宋"/>
          <w:sz w:val="32"/>
          <w:szCs w:val="32"/>
        </w:rPr>
        <w:t>：</w:t>
      </w:r>
      <w:r>
        <w:rPr>
          <w:rFonts w:hint="eastAsia" w:ascii="仿宋_GB2312" w:hAnsi="仿宋" w:eastAsia="仿宋_GB2312" w:cs="仿宋"/>
          <w:kern w:val="0"/>
          <w:sz w:val="32"/>
          <w:szCs w:val="32"/>
        </w:rPr>
        <w:t>决赛由大赛组委会统一组织，各市州文旅局负责组织本地区选拔赛，并</w:t>
      </w:r>
      <w:r>
        <w:rPr>
          <w:rFonts w:hint="eastAsia" w:ascii="仿宋_GB2312" w:hAnsi="仿宋" w:eastAsia="仿宋_GB2312" w:cs="仿宋"/>
          <w:sz w:val="32"/>
          <w:szCs w:val="32"/>
        </w:rPr>
        <w:t>于2022年4月15日17：00前将本地区《2022年湖南省旅游饭店职业技能大赛报名表》及参赛选手近期免冠2寸彩色照片（含电子版）报送至组委会邮箱。</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w:t>
      </w:r>
      <w:r>
        <w:rPr>
          <w:rFonts w:hint="eastAsia" w:ascii="仿宋_GB2312" w:hAnsi="仿宋" w:eastAsia="仿宋_GB2312" w:cs="仿宋"/>
          <w:b/>
          <w:sz w:val="32"/>
          <w:szCs w:val="32"/>
        </w:rPr>
        <w:t>费用安排</w:t>
      </w:r>
      <w:r>
        <w:rPr>
          <w:rFonts w:hint="eastAsia" w:ascii="仿宋_GB2312" w:hAnsi="仿宋" w:eastAsia="仿宋_GB2312" w:cs="仿宋"/>
          <w:sz w:val="32"/>
          <w:szCs w:val="32"/>
        </w:rPr>
        <w:t>：大赛组织、裁判评审、赛务执行、宣传推广等费用由大赛组委会承担；各市州参赛代表队（含领队、教练、参赛选手）的交通费、住宿费,由各市州文旅局按公务出差标准承担。</w:t>
      </w:r>
    </w:p>
    <w:p>
      <w:pPr>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三、奖励办法</w:t>
      </w:r>
    </w:p>
    <w:p>
      <w:pPr>
        <w:snapToGrid w:val="0"/>
        <w:spacing w:line="360" w:lineRule="auto"/>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（一）单项奖：</w:t>
      </w:r>
    </w:p>
    <w:p>
      <w:pPr>
        <w:widowControl/>
        <w:snapToGrid w:val="0"/>
        <w:spacing w:line="360" w:lineRule="auto"/>
        <w:ind w:firstLine="642"/>
        <w:jc w:val="left"/>
        <w:rPr>
          <w:rFonts w:hint="eastAsia" w:ascii="仿宋_GB2312" w:hAnsi="仿宋" w:eastAsia="仿宋_GB2312" w:cs="仿宋"/>
          <w:color w:val="FF0000"/>
          <w:kern w:val="0"/>
          <w:sz w:val="32"/>
          <w:szCs w:val="32"/>
        </w:rPr>
      </w:pPr>
      <w:r>
        <w:rPr>
          <w:rFonts w:hint="eastAsia" w:ascii="仿宋_GB2312" w:hAnsi="仿宋" w:eastAsia="仿宋_GB2312" w:cs="仿宋"/>
          <w:kern w:val="0"/>
          <w:sz w:val="32"/>
          <w:szCs w:val="32"/>
        </w:rPr>
        <w:t>1</w:t>
      </w:r>
      <w:r>
        <w:rPr>
          <w:rFonts w:hint="eastAsia" w:ascii="仿宋_GB2312" w:hAnsi="仿宋" w:eastAsia="仿宋_GB2312" w:cs="仿宋"/>
          <w:sz w:val="32"/>
          <w:szCs w:val="32"/>
        </w:rPr>
        <w:t>.各赛项</w:t>
      </w:r>
      <w:r>
        <w:rPr>
          <w:rFonts w:hint="eastAsia" w:ascii="仿宋_GB2312" w:hAnsi="仿宋" w:eastAsia="仿宋_GB2312" w:cs="仿宋"/>
          <w:kern w:val="0"/>
          <w:sz w:val="32"/>
          <w:szCs w:val="32"/>
        </w:rPr>
        <w:t>按照成绩之和从高分到低分排列，每个赛项各设一等奖2名、二等奖5名、三等奖8名</w:t>
      </w:r>
      <w:r>
        <w:rPr>
          <w:rFonts w:hint="eastAsia" w:ascii="仿宋_GB2312" w:hAnsi="仿宋" w:eastAsia="仿宋_GB2312" w:cs="仿宋"/>
          <w:sz w:val="32"/>
          <w:szCs w:val="32"/>
        </w:rPr>
        <w:t>。其他参赛选手颁发优胜奖证书。</w:t>
      </w:r>
    </w:p>
    <w:p>
      <w:pPr>
        <w:widowControl/>
        <w:snapToGrid w:val="0"/>
        <w:spacing w:line="360" w:lineRule="auto"/>
        <w:ind w:firstLine="642"/>
        <w:jc w:val="left"/>
        <w:rPr>
          <w:rFonts w:hint="eastAsia" w:ascii="仿宋_GB2312" w:hAnsi="仿宋" w:eastAsia="仿宋_GB2312" w:cs="仿宋"/>
          <w:sz w:val="32"/>
          <w:szCs w:val="32"/>
        </w:rPr>
      </w:pPr>
      <w:r>
        <w:rPr>
          <w:rFonts w:hint="eastAsia" w:ascii="仿宋_GB2312" w:hAnsi="仿宋" w:eastAsia="仿宋_GB2312" w:cs="仿宋"/>
          <w:kern w:val="0"/>
          <w:sz w:val="32"/>
          <w:szCs w:val="32"/>
        </w:rPr>
        <w:t>2</w:t>
      </w:r>
      <w:r>
        <w:rPr>
          <w:rFonts w:hint="eastAsia" w:ascii="仿宋_GB2312" w:hAnsi="仿宋" w:eastAsia="仿宋_GB2312" w:cs="仿宋"/>
          <w:sz w:val="32"/>
          <w:szCs w:val="32"/>
        </w:rPr>
        <w:t>.一等奖选手入选2022年全国技能大赛湖南集训队，经集训后择优参加2022年全国技能大赛。</w:t>
      </w:r>
    </w:p>
    <w:p>
      <w:pPr>
        <w:widowControl/>
        <w:snapToGrid w:val="0"/>
        <w:spacing w:line="360" w:lineRule="auto"/>
        <w:ind w:firstLine="642"/>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3.对培养一、二、三等</w:t>
      </w:r>
      <w:r>
        <w:rPr>
          <w:rFonts w:hint="eastAsia" w:ascii="仿宋_GB2312" w:hAnsi="仿宋" w:eastAsia="仿宋_GB2312" w:cs="仿宋"/>
          <w:kern w:val="0"/>
          <w:sz w:val="32"/>
          <w:szCs w:val="32"/>
        </w:rPr>
        <w:t>奖选手的项目指导教练，颁发优秀教练证书。</w:t>
      </w:r>
    </w:p>
    <w:p>
      <w:pPr>
        <w:widowControl/>
        <w:snapToGrid w:val="0"/>
        <w:spacing w:line="360" w:lineRule="auto"/>
        <w:ind w:firstLine="642"/>
        <w:jc w:val="left"/>
        <w:rPr>
          <w:rFonts w:hint="eastAsia" w:ascii="楷体_GB2312" w:hAnsi="仿宋" w:eastAsia="楷体_GB2312" w:cs="仿宋"/>
          <w:sz w:val="32"/>
          <w:szCs w:val="32"/>
        </w:rPr>
      </w:pPr>
      <w:r>
        <w:rPr>
          <w:rFonts w:hint="eastAsia" w:ascii="楷体_GB2312" w:hAnsi="仿宋" w:eastAsia="楷体_GB2312" w:cs="仿宋"/>
          <w:sz w:val="32"/>
          <w:szCs w:val="32"/>
        </w:rPr>
        <w:t>（二）团体奖：</w:t>
      </w:r>
    </w:p>
    <w:p>
      <w:pPr>
        <w:snapToGrid w:val="0"/>
        <w:spacing w:line="360" w:lineRule="auto"/>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1</w:t>
      </w:r>
      <w:r>
        <w:rPr>
          <w:rFonts w:hint="eastAsia" w:ascii="仿宋_GB2312" w:hAnsi="仿宋" w:eastAsia="仿宋_GB2312" w:cs="仿宋"/>
          <w:sz w:val="32"/>
          <w:szCs w:val="32"/>
        </w:rPr>
        <w:t>.</w:t>
      </w:r>
      <w:r>
        <w:rPr>
          <w:rFonts w:hint="eastAsia" w:ascii="仿宋_GB2312" w:hAnsi="仿宋" w:eastAsia="仿宋_GB2312" w:cs="仿宋"/>
          <w:b/>
          <w:kern w:val="0"/>
          <w:sz w:val="32"/>
          <w:szCs w:val="32"/>
        </w:rPr>
        <w:t>团体竞赛奖</w:t>
      </w:r>
      <w:r>
        <w:rPr>
          <w:rFonts w:hint="eastAsia" w:ascii="仿宋_GB2312" w:hAnsi="仿宋" w:eastAsia="仿宋_GB2312" w:cs="仿宋"/>
          <w:kern w:val="0"/>
          <w:sz w:val="32"/>
          <w:szCs w:val="32"/>
        </w:rPr>
        <w:t>：依据团队选手总成绩对各市州代表团授予团体奖励，设团体竞赛一等奖1名、二等奖3名、三等奖5名，由竞赛组委会颁发奖牌。</w:t>
      </w:r>
    </w:p>
    <w:p>
      <w:pPr>
        <w:widowControl/>
        <w:snapToGrid w:val="0"/>
        <w:spacing w:line="360" w:lineRule="auto"/>
        <w:ind w:firstLine="642"/>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w:t>
      </w:r>
      <w:r>
        <w:rPr>
          <w:rFonts w:hint="eastAsia" w:ascii="仿宋_GB2312" w:hAnsi="仿宋" w:eastAsia="仿宋_GB2312" w:cs="仿宋"/>
          <w:sz w:val="32"/>
          <w:szCs w:val="32"/>
        </w:rPr>
        <w:t>.</w:t>
      </w:r>
      <w:r>
        <w:rPr>
          <w:rFonts w:hint="eastAsia" w:ascii="仿宋_GB2312" w:hAnsi="仿宋" w:eastAsia="仿宋_GB2312" w:cs="仿宋"/>
          <w:b/>
          <w:kern w:val="0"/>
          <w:sz w:val="32"/>
          <w:szCs w:val="32"/>
        </w:rPr>
        <w:t>优秀组织奖</w:t>
      </w:r>
      <w:r>
        <w:rPr>
          <w:rFonts w:hint="eastAsia" w:ascii="仿宋_GB2312" w:hAnsi="仿宋" w:eastAsia="仿宋_GB2312" w:cs="仿宋"/>
          <w:kern w:val="0"/>
          <w:sz w:val="32"/>
          <w:szCs w:val="32"/>
        </w:rPr>
        <w:t>：竞赛组委会根据各代表队组织发动范围、选拔赛情况、赛场纪律、文明礼貌等情况确定并颁发“优秀组织奖”若干，由竞赛组委会颁发奖牌。</w:t>
      </w:r>
    </w:p>
    <w:p>
      <w:pPr>
        <w:widowControl/>
        <w:snapToGrid w:val="0"/>
        <w:spacing w:line="360" w:lineRule="auto"/>
        <w:ind w:firstLine="642"/>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3</w:t>
      </w:r>
      <w:r>
        <w:rPr>
          <w:rFonts w:hint="eastAsia" w:ascii="仿宋_GB2312" w:hAnsi="仿宋" w:eastAsia="仿宋_GB2312" w:cs="仿宋"/>
          <w:sz w:val="32"/>
          <w:szCs w:val="32"/>
        </w:rPr>
        <w:t>.</w:t>
      </w:r>
      <w:r>
        <w:rPr>
          <w:rFonts w:hint="eastAsia" w:ascii="仿宋_GB2312" w:hAnsi="仿宋" w:eastAsia="仿宋_GB2312" w:cs="仿宋"/>
          <w:b/>
          <w:kern w:val="0"/>
          <w:sz w:val="32"/>
          <w:szCs w:val="32"/>
        </w:rPr>
        <w:t>突出贡献奖</w:t>
      </w:r>
      <w:r>
        <w:rPr>
          <w:rFonts w:hint="eastAsia" w:ascii="仿宋_GB2312" w:hAnsi="仿宋" w:eastAsia="仿宋_GB2312" w:cs="仿宋"/>
          <w:kern w:val="0"/>
          <w:sz w:val="32"/>
          <w:szCs w:val="32"/>
        </w:rPr>
        <w:t>：竞赛组委会为做出突出贡献的有关单位颁发“突出贡献奖”，由竞赛组委会颁发奖牌。</w:t>
      </w:r>
    </w:p>
    <w:p>
      <w:pPr>
        <w:widowControl/>
        <w:snapToGrid w:val="0"/>
        <w:spacing w:line="360" w:lineRule="auto"/>
        <w:ind w:firstLine="642"/>
        <w:jc w:val="left"/>
        <w:rPr>
          <w:rFonts w:hint="eastAsia" w:ascii="楷体_GB2312" w:hAnsi="仿宋" w:eastAsia="楷体_GB2312" w:cs="仿宋"/>
          <w:sz w:val="32"/>
          <w:szCs w:val="32"/>
        </w:rPr>
      </w:pPr>
      <w:r>
        <w:rPr>
          <w:rFonts w:hint="eastAsia" w:ascii="楷体_GB2312" w:hAnsi="仿宋" w:eastAsia="楷体_GB2312" w:cs="仿宋"/>
          <w:sz w:val="32"/>
          <w:szCs w:val="32"/>
        </w:rPr>
        <w:t>（三）推荐申报相应称号：</w:t>
      </w:r>
    </w:p>
    <w:p>
      <w:pPr>
        <w:widowControl/>
        <w:snapToGrid w:val="0"/>
        <w:spacing w:line="360" w:lineRule="auto"/>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对在全省决赛中成绩突出的选手，由竞赛组委会推荐申报相应称号。</w:t>
      </w:r>
    </w:p>
    <w:p>
      <w:pPr>
        <w:widowControl/>
        <w:snapToGrid w:val="0"/>
        <w:spacing w:line="360" w:lineRule="auto"/>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1</w:t>
      </w:r>
      <w:r>
        <w:rPr>
          <w:rFonts w:hint="eastAsia" w:ascii="仿宋_GB2312" w:hAnsi="仿宋" w:eastAsia="仿宋_GB2312" w:cs="仿宋"/>
          <w:sz w:val="32"/>
          <w:szCs w:val="32"/>
        </w:rPr>
        <w:t>.</w:t>
      </w:r>
      <w:r>
        <w:rPr>
          <w:rFonts w:hint="eastAsia" w:ascii="仿宋_GB2312" w:hAnsi="仿宋" w:eastAsia="仿宋_GB2312" w:cs="仿宋"/>
          <w:kern w:val="0"/>
          <w:sz w:val="32"/>
          <w:szCs w:val="32"/>
        </w:rPr>
        <w:t>获得比赛项目第一名且符合条件的选手，由省人力资源和社会保障厅核准后按程序授予“湖南省技术能手”荣誉；</w:t>
      </w:r>
    </w:p>
    <w:p>
      <w:pPr>
        <w:widowControl/>
        <w:snapToGrid w:val="0"/>
        <w:spacing w:line="360" w:lineRule="auto"/>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2.获得比赛项目一等奖且符合条件的青年选手，由团省委核准后按程序授予“湖南省青年岗位能手”荣誉；</w:t>
      </w:r>
    </w:p>
    <w:p>
      <w:pPr>
        <w:widowControl/>
        <w:snapToGrid w:val="0"/>
        <w:spacing w:line="360" w:lineRule="auto"/>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3.获得比赛项目一等奖且符合条件的女选手，由省妇联核准后按程序授予“湖南省巾帼建功标兵”称号；</w:t>
      </w:r>
    </w:p>
    <w:p>
      <w:pPr>
        <w:widowControl/>
        <w:snapToGrid w:val="0"/>
        <w:spacing w:line="360" w:lineRule="auto"/>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4.</w:t>
      </w:r>
      <w:r>
        <w:rPr>
          <w:rFonts w:hint="eastAsia" w:ascii="仿宋_GB2312" w:hAnsi="仿宋" w:eastAsia="仿宋_GB2312" w:cs="仿宋"/>
          <w:kern w:val="0"/>
          <w:sz w:val="32"/>
          <w:szCs w:val="32"/>
        </w:rPr>
        <w:t>获得客房服务员、餐厅服务员（中餐宴会摆台+主题台型设计）、中式烹调师比赛项目第一名且符合条件的选手，由省总工会核准后按程序授予“湖南省五一劳动奖章”。</w:t>
      </w:r>
    </w:p>
    <w:p>
      <w:pPr>
        <w:widowControl/>
        <w:snapToGrid w:val="0"/>
        <w:spacing w:line="360" w:lineRule="auto"/>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已获得过“湖南省技术能手”“湖南省青年岗位能手”“湖南省巾帼建功标兵”“湖南省五一劳动奖章”的，不再重复授予。</w:t>
      </w:r>
    </w:p>
    <w:p>
      <w:pPr>
        <w:widowControl/>
        <w:snapToGrid w:val="0"/>
        <w:spacing w:line="360" w:lineRule="auto"/>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同时，鼓励各地结合技能人才表彰工作,制定本地区奖励政策,对获奖选手和教练团队等给予奖励。</w:t>
      </w:r>
    </w:p>
    <w:p>
      <w:pPr>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lang w:val="zh-CN"/>
        </w:rPr>
        <w:t>各市州文化旅游广电（体育）局要高度重视,</w:t>
      </w:r>
      <w:r>
        <w:rPr>
          <w:rFonts w:hint="eastAsia" w:ascii="仿宋_GB2312" w:hAnsi="仿宋" w:eastAsia="仿宋_GB2312" w:cs="仿宋"/>
          <w:sz w:val="32"/>
          <w:szCs w:val="32"/>
        </w:rPr>
        <w:t>抓紧动员发动符合条件的人员报名参赛,并组织本地区选拔赛,并组织参赛相关人员参加赛前培训和技术讨论等工作。比赛期间,要严格管理本参赛代表队参赛选手及相关人员,遵守比赛各项规定,确保大赛顺利进行。</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color w:val="000000"/>
          <w:kern w:val="0"/>
          <w:sz w:val="32"/>
          <w:szCs w:val="32"/>
          <w:lang w:val="zh-CN"/>
        </w:rPr>
        <w:t>各市州文化旅游广电（体育）局</w:t>
      </w:r>
      <w:r>
        <w:rPr>
          <w:rFonts w:hint="eastAsia" w:ascii="仿宋_GB2312" w:hAnsi="仿宋" w:eastAsia="仿宋_GB2312" w:cs="仿宋"/>
          <w:sz w:val="32"/>
          <w:szCs w:val="32"/>
        </w:rPr>
        <w:t>要明确专人负责统一组织本地区选手报名参赛工作,并将报名表报大赛执委会。决赛选手报名时间截止2022年4月15日,各代表队需在报名截止日前完成选手选拔及报名相关工作。</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为确保大赛安全顺利进行,大赛执委会将制定大赛疫情防控方案,对参加大赛相关活动的所有人员进行健康监测。各参赛代表队要明确专人负责本代表团全体成员的健康监测,配合大赛执委会做好疫情防控工作。疫情防控具体要求将根据疫情变化情况在赛前30天公布。</w:t>
      </w:r>
    </w:p>
    <w:p>
      <w:pPr>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五、联系方式</w:t>
      </w:r>
    </w:p>
    <w:p>
      <w:pPr>
        <w:widowControl/>
        <w:snapToGrid w:val="0"/>
        <w:spacing w:line="360" w:lineRule="auto"/>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大赛执委会办公室：</w:t>
      </w:r>
    </w:p>
    <w:p>
      <w:pPr>
        <w:widowControl/>
        <w:snapToGrid w:val="0"/>
        <w:spacing w:line="360" w:lineRule="auto"/>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联 系 人: 梁静13574111839  陈婉容18008442026</w:t>
      </w:r>
    </w:p>
    <w:p>
      <w:pPr>
        <w:widowControl/>
        <w:snapToGrid w:val="0"/>
        <w:spacing w:line="360" w:lineRule="auto"/>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办公电话：0731-85834696  </w:t>
      </w:r>
    </w:p>
    <w:p>
      <w:pPr>
        <w:widowControl/>
        <w:snapToGrid w:val="0"/>
        <w:spacing w:line="360" w:lineRule="auto"/>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电子邮箱：</w:t>
      </w:r>
      <w:r>
        <w:fldChar w:fldCharType="begin"/>
      </w:r>
      <w:r>
        <w:instrText xml:space="preserve"> HYPERLINK "mailto:1944741266@qq.com" </w:instrText>
      </w:r>
      <w:r>
        <w:fldChar w:fldCharType="separate"/>
      </w:r>
      <w:r>
        <w:rPr>
          <w:rFonts w:hint="eastAsia" w:ascii="仿宋_GB2312" w:hAnsi="仿宋" w:eastAsia="仿宋_GB2312" w:cs="宋体"/>
          <w:kern w:val="0"/>
          <w:sz w:val="32"/>
          <w:szCs w:val="32"/>
        </w:rPr>
        <w:t>1944741266@qq.com</w:t>
      </w:r>
      <w:r>
        <w:rPr>
          <w:rFonts w:hint="eastAsia" w:ascii="仿宋_GB2312" w:hAnsi="仿宋" w:eastAsia="仿宋_GB2312" w:cs="宋体"/>
          <w:kern w:val="0"/>
          <w:sz w:val="32"/>
          <w:szCs w:val="32"/>
        </w:rPr>
        <w:fldChar w:fldCharType="end"/>
      </w:r>
    </w:p>
    <w:p>
      <w:pPr>
        <w:widowControl/>
        <w:snapToGrid w:val="0"/>
        <w:spacing w:line="360" w:lineRule="auto"/>
        <w:ind w:firstLine="640" w:firstLineChars="200"/>
        <w:jc w:val="left"/>
        <w:rPr>
          <w:rFonts w:ascii="仿宋" w:hAnsi="仿宋" w:eastAsia="仿宋" w:cs="宋体"/>
          <w:kern w:val="0"/>
          <w:sz w:val="32"/>
          <w:szCs w:val="32"/>
        </w:rPr>
      </w:pPr>
      <w:r>
        <w:rPr>
          <w:rFonts w:hint="eastAsia" w:ascii="仿宋_GB2312" w:hAnsi="仿宋" w:eastAsia="仿宋_GB2312" w:cs="宋体"/>
          <w:kern w:val="0"/>
          <w:sz w:val="32"/>
          <w:szCs w:val="32"/>
        </w:rPr>
        <w:t>资料下载： 下载通知及附件请登录湖南省旅游饭店协会官网：www.hntha.org，竞赛规则、评分细则、题库、报名表等将于3月上旬在网站上公布。</w:t>
      </w:r>
    </w:p>
    <w:p>
      <w:pPr>
        <w:widowControl/>
        <w:snapToGrid w:val="0"/>
        <w:spacing w:line="360" w:lineRule="auto"/>
        <w:ind w:firstLine="640" w:firstLineChars="200"/>
        <w:jc w:val="left"/>
        <w:rPr>
          <w:rFonts w:ascii="仿宋" w:hAnsi="仿宋" w:eastAsia="仿宋" w:cs="宋体"/>
          <w:kern w:val="0"/>
          <w:sz w:val="32"/>
          <w:szCs w:val="32"/>
        </w:rPr>
      </w:pPr>
    </w:p>
    <w:p>
      <w:pPr>
        <w:widowControl/>
        <w:snapToGrid w:val="0"/>
        <w:spacing w:line="360" w:lineRule="auto"/>
        <w:ind w:firstLine="640" w:firstLineChars="200"/>
        <w:jc w:val="left"/>
        <w:rPr>
          <w:rFonts w:ascii="仿宋" w:hAnsi="仿宋" w:eastAsia="仿宋" w:cs="宋体"/>
          <w:kern w:val="0"/>
          <w:sz w:val="32"/>
          <w:szCs w:val="32"/>
        </w:rPr>
      </w:pPr>
    </w:p>
    <w:p>
      <w:pPr>
        <w:widowControl/>
        <w:snapToGrid w:val="0"/>
        <w:spacing w:line="360" w:lineRule="auto"/>
        <w:ind w:firstLine="640" w:firstLineChars="200"/>
        <w:jc w:val="left"/>
        <w:rPr>
          <w:rFonts w:ascii="仿宋" w:hAnsi="仿宋" w:eastAsia="仿宋" w:cs="宋体"/>
          <w:kern w:val="0"/>
          <w:sz w:val="32"/>
          <w:szCs w:val="32"/>
        </w:rPr>
      </w:pPr>
    </w:p>
    <w:p>
      <w:pPr>
        <w:widowControl/>
        <w:snapToGrid w:val="0"/>
        <w:spacing w:line="360" w:lineRule="auto"/>
        <w:ind w:firstLine="640" w:firstLineChars="200"/>
        <w:jc w:val="left"/>
        <w:rPr>
          <w:rFonts w:ascii="仿宋" w:hAnsi="仿宋" w:eastAsia="仿宋" w:cs="宋体"/>
          <w:kern w:val="0"/>
          <w:sz w:val="32"/>
          <w:szCs w:val="32"/>
        </w:rPr>
      </w:pPr>
    </w:p>
    <w:p>
      <w:pPr>
        <w:widowControl/>
        <w:snapToGrid w:val="0"/>
        <w:spacing w:line="360" w:lineRule="auto"/>
        <w:ind w:firstLine="640" w:firstLineChars="200"/>
        <w:jc w:val="left"/>
        <w:rPr>
          <w:rFonts w:ascii="仿宋" w:hAnsi="仿宋" w:eastAsia="仿宋" w:cs="宋体"/>
          <w:kern w:val="0"/>
          <w:sz w:val="32"/>
          <w:szCs w:val="32"/>
        </w:rPr>
      </w:pPr>
    </w:p>
    <w:p>
      <w:pPr>
        <w:widowControl/>
        <w:snapToGrid w:val="0"/>
        <w:spacing w:line="360" w:lineRule="auto"/>
        <w:ind w:firstLine="640" w:firstLineChars="200"/>
        <w:jc w:val="left"/>
        <w:rPr>
          <w:rFonts w:ascii="仿宋" w:hAnsi="仿宋" w:eastAsia="仿宋" w:cs="宋体"/>
          <w:kern w:val="0"/>
          <w:sz w:val="32"/>
          <w:szCs w:val="32"/>
        </w:rPr>
      </w:pPr>
    </w:p>
    <w:p>
      <w:pPr>
        <w:widowControl/>
        <w:snapToGrid w:val="0"/>
        <w:spacing w:line="360" w:lineRule="auto"/>
        <w:ind w:firstLine="640" w:firstLineChars="200"/>
        <w:jc w:val="left"/>
        <w:rPr>
          <w:rFonts w:ascii="仿宋" w:hAnsi="仿宋" w:eastAsia="仿宋" w:cs="宋体"/>
          <w:kern w:val="0"/>
          <w:sz w:val="32"/>
          <w:szCs w:val="32"/>
        </w:rPr>
      </w:pPr>
    </w:p>
    <w:p>
      <w:pPr>
        <w:widowControl/>
        <w:snapToGrid w:val="0"/>
        <w:spacing w:line="360" w:lineRule="auto"/>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湖南省文化和旅游厅        湖南省人力资源和社会保障厅</w:t>
      </w:r>
    </w:p>
    <w:p>
      <w:pPr>
        <w:widowControl/>
        <w:snapToGrid w:val="0"/>
        <w:spacing w:line="360" w:lineRule="auto"/>
        <w:ind w:firstLine="640" w:firstLineChars="200"/>
        <w:jc w:val="left"/>
        <w:rPr>
          <w:rFonts w:hint="eastAsia" w:ascii="仿宋_GB2312" w:hAnsi="仿宋" w:eastAsia="仿宋_GB2312" w:cs="宋体"/>
          <w:kern w:val="0"/>
          <w:sz w:val="32"/>
          <w:szCs w:val="32"/>
        </w:rPr>
      </w:pPr>
    </w:p>
    <w:p>
      <w:pPr>
        <w:widowControl/>
        <w:snapToGrid w:val="0"/>
        <w:spacing w:line="360" w:lineRule="auto"/>
        <w:ind w:firstLine="640" w:firstLineChars="200"/>
        <w:jc w:val="left"/>
        <w:rPr>
          <w:rFonts w:hint="eastAsia" w:ascii="仿宋_GB2312" w:hAnsi="仿宋" w:eastAsia="仿宋_GB2312" w:cs="宋体"/>
          <w:kern w:val="0"/>
          <w:sz w:val="32"/>
          <w:szCs w:val="32"/>
        </w:rPr>
      </w:pPr>
    </w:p>
    <w:p>
      <w:pPr>
        <w:widowControl/>
        <w:snapToGrid w:val="0"/>
        <w:spacing w:line="360" w:lineRule="auto"/>
        <w:ind w:firstLine="640" w:firstLineChars="200"/>
        <w:jc w:val="left"/>
        <w:rPr>
          <w:rFonts w:hint="eastAsia" w:ascii="仿宋_GB2312" w:hAnsi="仿宋" w:eastAsia="仿宋_GB2312" w:cs="宋体"/>
          <w:kern w:val="0"/>
          <w:sz w:val="32"/>
          <w:szCs w:val="32"/>
        </w:rPr>
      </w:pPr>
    </w:p>
    <w:p>
      <w:pPr>
        <w:widowControl/>
        <w:snapToGrid w:val="0"/>
        <w:spacing w:line="360" w:lineRule="auto"/>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湖南省总工会                共青团湖南省委员会</w:t>
      </w:r>
    </w:p>
    <w:p>
      <w:pPr>
        <w:widowControl/>
        <w:snapToGrid w:val="0"/>
        <w:spacing w:line="360" w:lineRule="auto"/>
        <w:jc w:val="left"/>
        <w:rPr>
          <w:rFonts w:hint="eastAsia" w:ascii="仿宋_GB2312" w:hAnsi="仿宋" w:eastAsia="仿宋_GB2312" w:cs="宋体"/>
          <w:kern w:val="0"/>
          <w:sz w:val="32"/>
          <w:szCs w:val="32"/>
        </w:rPr>
      </w:pPr>
    </w:p>
    <w:p>
      <w:pPr>
        <w:widowControl/>
        <w:snapToGrid w:val="0"/>
        <w:spacing w:line="360" w:lineRule="auto"/>
        <w:jc w:val="left"/>
        <w:rPr>
          <w:rFonts w:hint="eastAsia" w:ascii="仿宋_GB2312" w:hAnsi="仿宋" w:eastAsia="仿宋_GB2312" w:cs="宋体"/>
          <w:kern w:val="0"/>
          <w:sz w:val="32"/>
          <w:szCs w:val="32"/>
        </w:rPr>
      </w:pPr>
    </w:p>
    <w:p>
      <w:pPr>
        <w:widowControl/>
        <w:snapToGrid w:val="0"/>
        <w:spacing w:line="360" w:lineRule="auto"/>
        <w:jc w:val="left"/>
        <w:rPr>
          <w:rFonts w:hint="eastAsia" w:ascii="仿宋_GB2312" w:hAnsi="仿宋" w:eastAsia="仿宋_GB2312" w:cs="宋体"/>
          <w:kern w:val="0"/>
          <w:sz w:val="32"/>
          <w:szCs w:val="32"/>
        </w:rPr>
      </w:pPr>
    </w:p>
    <w:p>
      <w:pPr>
        <w:widowControl/>
        <w:snapToGrid w:val="0"/>
        <w:spacing w:line="360" w:lineRule="auto"/>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湖南省妇女联合会</w:t>
      </w:r>
    </w:p>
    <w:p>
      <w:pPr>
        <w:widowControl/>
        <w:snapToGrid w:val="0"/>
        <w:spacing w:line="360" w:lineRule="auto"/>
        <w:ind w:firstLine="640" w:firstLineChars="200"/>
        <w:jc w:val="left"/>
        <w:rPr>
          <w:rFonts w:hint="eastAsia" w:ascii="仿宋_GB2312" w:hAnsi="仿宋" w:eastAsia="仿宋_GB2312" w:cs="宋体"/>
          <w:kern w:val="0"/>
          <w:sz w:val="32"/>
          <w:szCs w:val="32"/>
        </w:rPr>
      </w:pPr>
    </w:p>
    <w:p>
      <w:pPr>
        <w:widowControl/>
        <w:snapToGrid w:val="0"/>
        <w:spacing w:line="360" w:lineRule="auto"/>
        <w:ind w:firstLine="640" w:firstLineChars="200"/>
        <w:jc w:val="left"/>
        <w:rPr>
          <w:rFonts w:hint="eastAsia" w:ascii="仿宋_GB2312" w:hAnsi="仿宋" w:eastAsia="仿宋_GB2312" w:cs="宋体"/>
          <w:kern w:val="0"/>
          <w:sz w:val="32"/>
          <w:szCs w:val="32"/>
        </w:rPr>
      </w:pPr>
    </w:p>
    <w:p>
      <w:pPr>
        <w:widowControl/>
        <w:snapToGrid w:val="0"/>
        <w:spacing w:line="360" w:lineRule="auto"/>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2022年2月17日</w:t>
      </w:r>
      <w:bookmarkStart w:id="0" w:name="_GoBack"/>
      <w:bookmarkEnd w:id="0"/>
    </w:p>
    <w:p>
      <w:pPr>
        <w:widowControl/>
        <w:snapToGrid w:val="0"/>
        <w:spacing w:line="360" w:lineRule="auto"/>
        <w:jc w:val="left"/>
        <w:rPr>
          <w:rFonts w:ascii="黑体" w:hAnsi="黑体" w:eastAsia="黑体" w:cs="宋体"/>
          <w:kern w:val="0"/>
          <w:sz w:val="32"/>
          <w:szCs w:val="32"/>
        </w:rPr>
      </w:pPr>
    </w:p>
    <w:p>
      <w:pPr>
        <w:widowControl/>
        <w:snapToGrid w:val="0"/>
        <w:spacing w:line="360" w:lineRule="auto"/>
        <w:jc w:val="left"/>
        <w:rPr>
          <w:rFonts w:ascii="黑体" w:hAnsi="黑体" w:eastAsia="黑体" w:cs="宋体"/>
          <w:kern w:val="0"/>
          <w:sz w:val="32"/>
          <w:szCs w:val="32"/>
        </w:rPr>
      </w:pPr>
    </w:p>
    <w:p>
      <w:pPr>
        <w:widowControl/>
        <w:snapToGrid w:val="0"/>
        <w:spacing w:line="360" w:lineRule="auto"/>
        <w:jc w:val="left"/>
        <w:rPr>
          <w:rFonts w:hint="eastAsia" w:ascii="黑体" w:hAnsi="黑体" w:eastAsia="黑体" w:cs="宋体"/>
          <w:kern w:val="0"/>
          <w:sz w:val="32"/>
          <w:szCs w:val="32"/>
        </w:rPr>
      </w:pPr>
    </w:p>
    <w:p>
      <w:pPr>
        <w:widowControl/>
        <w:snapToGrid w:val="0"/>
        <w:spacing w:line="360" w:lineRule="auto"/>
        <w:jc w:val="left"/>
        <w:rPr>
          <w:rFonts w:hint="eastAsia" w:ascii="黑体" w:hAnsi="黑体" w:eastAsia="黑体" w:cs="宋体"/>
          <w:kern w:val="0"/>
          <w:sz w:val="32"/>
          <w:szCs w:val="32"/>
        </w:rPr>
      </w:pPr>
    </w:p>
    <w:p>
      <w:pPr>
        <w:widowControl/>
        <w:snapToGrid w:val="0"/>
        <w:spacing w:line="360" w:lineRule="auto"/>
        <w:jc w:val="left"/>
        <w:rPr>
          <w:rFonts w:hint="eastAsia" w:ascii="黑体" w:hAnsi="黑体" w:eastAsia="黑体" w:cs="宋体"/>
          <w:kern w:val="0"/>
          <w:sz w:val="32"/>
          <w:szCs w:val="32"/>
        </w:rPr>
      </w:pPr>
    </w:p>
    <w:p>
      <w:pPr>
        <w:widowControl/>
        <w:snapToGrid w:val="0"/>
        <w:spacing w:line="360" w:lineRule="auto"/>
        <w:jc w:val="left"/>
        <w:rPr>
          <w:rFonts w:hint="eastAsia" w:ascii="黑体" w:hAnsi="黑体" w:eastAsia="黑体" w:cs="宋体"/>
          <w:kern w:val="0"/>
          <w:sz w:val="32"/>
          <w:szCs w:val="32"/>
        </w:rPr>
      </w:pPr>
    </w:p>
    <w:p>
      <w:pPr>
        <w:snapToGrid w:val="0"/>
        <w:spacing w:afterLines="50" w:line="300" w:lineRule="auto"/>
        <w:rPr>
          <w:rFonts w:ascii="仿宋" w:hAnsi="仿宋" w:eastAsia="仿宋" w:cs="仿宋"/>
          <w:sz w:val="24"/>
          <w:szCs w:val="24"/>
        </w:rPr>
      </w:pPr>
    </w:p>
    <w:tbl>
      <w:tblPr>
        <w:tblStyle w:val="5"/>
        <w:tblW w:w="0" w:type="auto"/>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060" w:type="dxa"/>
            <w:vAlign w:val="center"/>
          </w:tcPr>
          <w:p>
            <w:pPr>
              <w:snapToGrid w:val="0"/>
              <w:rPr>
                <w:rFonts w:ascii="仿宋_GB2312" w:hAnsi="仿宋" w:eastAsia="仿宋_GB2312" w:cs="仿宋"/>
              </w:rPr>
            </w:pPr>
            <w:r>
              <w:rPr>
                <w:rFonts w:hint="eastAsia" w:ascii="仿宋_GB2312" w:hAnsi="仿宋" w:eastAsia="仿宋_GB2312" w:cs="仿宋"/>
              </w:rPr>
              <w:t>湖南省文化和旅游厅办公室                  2022年2月17日印发</w:t>
            </w:r>
          </w:p>
        </w:tc>
      </w:tr>
    </w:tbl>
    <w:p>
      <w:pPr>
        <w:snapToGrid w:val="0"/>
        <w:spacing w:afterLines="50" w:line="300" w:lineRule="auto"/>
        <w:rPr>
          <w:rFonts w:ascii="仿宋" w:hAnsi="仿宋" w:eastAsia="仿宋" w:cs="仿宋"/>
          <w:sz w:val="24"/>
          <w:szCs w:val="24"/>
        </w:rPr>
      </w:pPr>
    </w:p>
    <w:sectPr>
      <w:footerReference r:id="rId3" w:type="default"/>
      <w:pgSz w:w="11906" w:h="16838"/>
      <w:pgMar w:top="2098" w:right="1531" w:bottom="1531" w:left="1531" w:header="851" w:footer="992" w:gutter="0"/>
      <w:pgNumType w:fmt="numberInDash"/>
      <w:cols w:space="425" w:num="1"/>
      <w:titlePg/>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5033D0-332C-446E-9704-8465E2DF57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AECD84D-A435-47DD-9B0B-59AC6BA3D3B9}"/>
  </w:font>
  <w:font w:name="仿宋">
    <w:panose1 w:val="02010609060101010101"/>
    <w:charset w:val="86"/>
    <w:family w:val="modern"/>
    <w:pitch w:val="default"/>
    <w:sig w:usb0="800002BF" w:usb1="38CF7CFA" w:usb2="00000016" w:usb3="00000000" w:csb0="00040001" w:csb1="00000000"/>
    <w:embedRegular r:id="rId3" w:fontKey="{BDADE338-4D35-4F0A-958A-D657706EFF1F}"/>
  </w:font>
  <w:font w:name="楷体_GB2312">
    <w:panose1 w:val="02010609030101010101"/>
    <w:charset w:val="86"/>
    <w:family w:val="modern"/>
    <w:pitch w:val="default"/>
    <w:sig w:usb0="00000001" w:usb1="080E0000" w:usb2="00000000" w:usb3="00000000" w:csb0="00040000" w:csb1="00000000"/>
    <w:embedRegular r:id="rId4" w:fontKey="{396EDC62-342D-4CC2-A356-7C77DEBA4C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9252"/>
      <w:docPartObj>
        <w:docPartGallery w:val="AutoText"/>
      </w:docPartObj>
    </w:sdtPr>
    <w:sdtEndPr>
      <w:rPr>
        <w:rFonts w:asciiTheme="minorEastAsia" w:hAnsiTheme="minorEastAsia" w:eastAsiaTheme="minorEastAsia"/>
        <w:sz w:val="24"/>
        <w:szCs w:val="24"/>
      </w:rPr>
    </w:sdtEndPr>
    <w:sdtContent>
      <w:p>
        <w:pPr>
          <w:pStyle w:val="2"/>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2 -</w:t>
        </w:r>
        <w:r>
          <w:rPr>
            <w:rFonts w:asciiTheme="minorEastAsia" w:hAnsiTheme="minorEastAsia" w:eastAsiaTheme="minorEastAsia"/>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9F"/>
    <w:rsid w:val="00011C9E"/>
    <w:rsid w:val="000626F6"/>
    <w:rsid w:val="002840AA"/>
    <w:rsid w:val="002851F5"/>
    <w:rsid w:val="00287732"/>
    <w:rsid w:val="0068404E"/>
    <w:rsid w:val="006D5E8F"/>
    <w:rsid w:val="007A0586"/>
    <w:rsid w:val="0094029F"/>
    <w:rsid w:val="00970AEC"/>
    <w:rsid w:val="00B05C94"/>
    <w:rsid w:val="00BC4AEC"/>
    <w:rsid w:val="00C02EA3"/>
    <w:rsid w:val="00C40176"/>
    <w:rsid w:val="00E5448A"/>
    <w:rsid w:val="021A1913"/>
    <w:rsid w:val="064E3A9F"/>
    <w:rsid w:val="0C8B2DC4"/>
    <w:rsid w:val="120D0242"/>
    <w:rsid w:val="19144D05"/>
    <w:rsid w:val="19337F41"/>
    <w:rsid w:val="1CF31CE3"/>
    <w:rsid w:val="20AE26BB"/>
    <w:rsid w:val="29244D77"/>
    <w:rsid w:val="321D3589"/>
    <w:rsid w:val="358E6367"/>
    <w:rsid w:val="382E69AA"/>
    <w:rsid w:val="44472913"/>
    <w:rsid w:val="4C03162A"/>
    <w:rsid w:val="4F33501F"/>
    <w:rsid w:val="51E76141"/>
    <w:rsid w:val="59C279CD"/>
    <w:rsid w:val="61D80564"/>
    <w:rsid w:val="6A3944EE"/>
    <w:rsid w:val="703577E1"/>
    <w:rsid w:val="70A34AFE"/>
    <w:rsid w:val="72307304"/>
    <w:rsid w:val="78662461"/>
    <w:rsid w:val="7A4C2D4A"/>
    <w:rsid w:val="7B3779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_GB2312" w:hAnsi="Times New Roman" w:eastAsia="Times New Roman" w:cs="??_GB2312"/>
      <w:kern w:val="2"/>
      <w:sz w:val="28"/>
      <w:szCs w:val="28"/>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脚 Char"/>
    <w:basedOn w:val="6"/>
    <w:link w:val="2"/>
    <w:qFormat/>
    <w:uiPriority w:val="99"/>
    <w:rPr>
      <w:rFonts w:ascii="??_GB2312" w:eastAsia="Times New Roman" w:cs="??_GB2312"/>
      <w:kern w:val="2"/>
      <w:sz w:val="1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933B8-48B4-4CE7-905F-7156B64FFB3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2757</Words>
  <Characters>560</Characters>
  <Lines>4</Lines>
  <Paragraphs>6</Paragraphs>
  <TotalTime>492</TotalTime>
  <ScaleCrop>false</ScaleCrop>
  <LinksUpToDate>false</LinksUpToDate>
  <CharactersWithSpaces>3311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2020-10-10T03:19:00Z</dcterms:created>
  <dc:creator>静香</dc:creator>
  <cp:lastModifiedBy>陈婉容</cp:lastModifiedBy>
  <cp:lastPrinted>2022-02-17T02:56:00Z</cp:lastPrinted>
  <dcterms:modified xsi:type="dcterms:W3CDTF">2022-02-21T08:09:27Z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A3B1A44369D2490C8D3C44F3E154AA57</vt:lpwstr>
  </property>
</Properties>
</file>